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BB" w:rsidRDefault="00084BBB" w:rsidP="00E14584">
      <w:pPr>
        <w:pStyle w:val="a4"/>
        <w:jc w:val="both"/>
        <w:rPr>
          <w:color w:val="000000" w:themeColor="text1"/>
          <w:sz w:val="28"/>
          <w:szCs w:val="28"/>
        </w:rPr>
      </w:pPr>
    </w:p>
    <w:p w:rsidR="00CE4776" w:rsidRPr="00F12802" w:rsidRDefault="00084BBB" w:rsidP="00F12802">
      <w:pPr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  <w:lang w:eastAsia="ru-RU"/>
        </w:rPr>
      </w:pPr>
      <w:r w:rsidRPr="00F12802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  <w:lang w:eastAsia="ru-RU"/>
        </w:rPr>
        <w:t xml:space="preserve">Обзор </w:t>
      </w:r>
      <w:r w:rsidR="009B6152" w:rsidRPr="00F12802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  <w:lang w:eastAsia="ru-RU"/>
        </w:rPr>
        <w:t xml:space="preserve">эпидемической </w:t>
      </w:r>
      <w:r w:rsidRPr="00F12802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  <w:lang w:eastAsia="ru-RU"/>
        </w:rPr>
        <w:t>ситуации в мире</w:t>
      </w:r>
      <w:r w:rsidR="009B6152" w:rsidRPr="00F12802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  <w:lang w:eastAsia="ru-RU"/>
        </w:rPr>
        <w:t xml:space="preserve"> по холере</w:t>
      </w:r>
    </w:p>
    <w:p w:rsidR="00084BBB" w:rsidRPr="00F12802" w:rsidRDefault="009B6152" w:rsidP="00F12802">
      <w:pPr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  <w:lang w:eastAsia="ru-RU"/>
        </w:rPr>
      </w:pPr>
      <w:r w:rsidRPr="00F12802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  <w:lang w:eastAsia="ru-RU"/>
        </w:rPr>
        <w:t>(</w:t>
      </w:r>
      <w:r w:rsidR="00CE4776" w:rsidRPr="00F12802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  <w:lang w:eastAsia="ru-RU"/>
        </w:rPr>
        <w:t xml:space="preserve">информация подготовлена </w:t>
      </w:r>
      <w:r w:rsidRPr="00F12802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  <w:lang w:eastAsia="ru-RU"/>
        </w:rPr>
        <w:t>по данным ВОЗ)</w:t>
      </w:r>
    </w:p>
    <w:p w:rsidR="00084BBB" w:rsidRPr="00F12802" w:rsidRDefault="00CC43A9" w:rsidP="00F12802">
      <w:pPr>
        <w:spacing w:after="0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28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F12802" w:rsidRDefault="009B6152" w:rsidP="00F128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По информации Всемирной организации здравоохранения(далее-ВОЗ) с</w:t>
      </w:r>
      <w:r w:rsidR="00084BBB"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середины 2021 г. в мире наблюдается активный рост седьмой пандемии холеры, которая отличается количеством, масштабом и одновременностью многочисленных вспышек, распространением на территориях, которые были свободны от холеры в течение десятилетий, и тревожно высокими показателями смертности.   </w:t>
      </w:r>
    </w:p>
    <w:p w:rsidR="00F12802" w:rsidRDefault="00084BBB" w:rsidP="00F128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В 2021 г. сообщения о вспышках холеры поступили из 23 стран, в основном из Африканского региона и Региона Восточного Средиземноморья ВОЗ. Эта тенденция сохранилась и в 2022 г., в течение которого о случаях или вспышках холеры сообщило 30 стран, расположенных в пяти из шести регионов ВОЗ. </w:t>
      </w:r>
      <w:r w:rsidR="00CC43A9" w:rsidRPr="00F128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12802" w:rsidRDefault="009B6152" w:rsidP="00F128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Б</w:t>
      </w:r>
      <w:r w:rsidR="00084BBB"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ольшинство </w:t>
      </w:r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стран</w:t>
      </w:r>
      <w:r w:rsidR="00084BBB"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сообщили о возросшем числе случаев и росте коэффициентов летальности (КЛ) по</w:t>
      </w:r>
      <w:r w:rsid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сравнению с предыдущими годами.</w:t>
      </w:r>
    </w:p>
    <w:p w:rsidR="00F12802" w:rsidRDefault="00084BBB" w:rsidP="00F128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По состоянию на 1 февраля 2023 г. </w:t>
      </w:r>
      <w:r w:rsidR="0052007C"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</w:t>
      </w:r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18 стран продолжают сообщать о случаях холер</w:t>
      </w:r>
      <w:r w:rsidR="00B948F6"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ы. Поскольку </w:t>
      </w:r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в большинстве районов мира сейчас наблюдается низкий или </w:t>
      </w:r>
      <w:proofErr w:type="spellStart"/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межэпидемический</w:t>
      </w:r>
      <w:proofErr w:type="spellEnd"/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период передачи инфекции, в ближайшие месяцы число таких </w:t>
      </w:r>
      <w:r w:rsidR="0052007C"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стран</w:t>
      </w:r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может возрасти.</w:t>
      </w:r>
    </w:p>
    <w:p w:rsidR="00F12802" w:rsidRDefault="00084BBB" w:rsidP="00F128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Смертность, связанная с этими вспышками, вызывает особую озабоченность, поскольку многие </w:t>
      </w:r>
      <w:r w:rsidR="0052007C"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регионы</w:t>
      </w:r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сообщили о более высоких значениях КЛ, чем в предыдущие годы. Зарегистрированный в 2021 г. среднемировой показатель КЛ от холеры, составивший 1,9% (в Африке — 2,9%), значительно превышает допустимый уровень (&lt;1%) и является самым высоким показателем за последние 10 лет. Предварительные данные указывают на аналогичную тенденцию в 2022 и 2023 </w:t>
      </w:r>
      <w:proofErr w:type="spellStart"/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г</w:t>
      </w:r>
      <w:r w:rsidR="0052007C"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.</w:t>
      </w:r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г</w:t>
      </w:r>
      <w:proofErr w:type="spellEnd"/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.</w:t>
      </w:r>
    </w:p>
    <w:p w:rsidR="00F12802" w:rsidRDefault="00084BBB" w:rsidP="00F128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Одновременное развитие нескольких вспышек холеры, усугубляемое серьезными гуманитарными кризисами в </w:t>
      </w:r>
      <w:r w:rsidR="0052007C"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ряде стран</w:t>
      </w:r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, имеющих слабые системы здравоохранения, а также изменением климата, затрудняет реагирование на вспышки и создает риск их дальнейшего распространения в другие </w:t>
      </w:r>
      <w:r w:rsidR="0052007C"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регионы</w:t>
      </w:r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.</w:t>
      </w:r>
    </w:p>
    <w:p w:rsidR="00084BBB" w:rsidRDefault="00084BBB" w:rsidP="00F128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Учитывая текущую ситуацию, в том числе увеличение числа вспышек и расширение их географического охвата, а также дефицит вакцин и других ресурсов, ВОЗ оценивает риск </w:t>
      </w:r>
      <w:r w:rsidR="0052007C"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распространения холеры </w:t>
      </w:r>
      <w:r w:rsidRPr="00F12802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на глобальном уровне как очень высокий.</w:t>
      </w:r>
    </w:p>
    <w:p w:rsidR="007376DF" w:rsidRPr="00F12802" w:rsidRDefault="00146D89" w:rsidP="007376DF">
      <w:pPr>
        <w:spacing w:after="0" w:line="360" w:lineRule="atLeast"/>
        <w:ind w:firstLine="709"/>
        <w:jc w:val="right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</w:t>
      </w:r>
    </w:p>
    <w:tbl>
      <w:tblPr>
        <w:tblW w:w="10206" w:type="dxa"/>
        <w:tblInd w:w="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428"/>
        <w:gridCol w:w="1548"/>
        <w:gridCol w:w="466"/>
        <w:gridCol w:w="6040"/>
      </w:tblGrid>
      <w:tr w:rsidR="007376DF" w:rsidRPr="007376DF" w:rsidTr="002D4653">
        <w:trPr>
          <w:trHeight w:val="248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Регион ВОЗ</w:t>
            </w:r>
          </w:p>
        </w:tc>
        <w:tc>
          <w:tcPr>
            <w:tcW w:w="197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Наблюдаемые страны</w:t>
            </w:r>
          </w:p>
        </w:tc>
        <w:tc>
          <w:tcPr>
            <w:tcW w:w="650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18"/>
                <w:szCs w:val="18"/>
                <w:lang w:eastAsia="ru-RU"/>
              </w:rPr>
              <w:t> </w:t>
            </w:r>
          </w:p>
        </w:tc>
      </w:tr>
      <w:tr w:rsidR="007376DF" w:rsidRPr="007376DF" w:rsidTr="002D4653">
        <w:trPr>
          <w:trHeight w:val="597"/>
        </w:trPr>
        <w:tc>
          <w:tcPr>
            <w:tcW w:w="1724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Африканский регион</w:t>
            </w:r>
          </w:p>
        </w:tc>
        <w:tc>
          <w:tcPr>
            <w:tcW w:w="197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Бурунди</w:t>
            </w:r>
          </w:p>
        </w:tc>
        <w:tc>
          <w:tcPr>
            <w:tcW w:w="650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период с декабря 2022 года по 29 января 2023 года Бурунди сообщила о 105 случаях заболевания и одной смерти (примерно 1%)</w:t>
            </w:r>
            <w:r w:rsidR="007C66D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7376DF" w:rsidRPr="007376DF" w:rsidTr="002D4653">
        <w:trPr>
          <w:trHeight w:val="1802"/>
        </w:trPr>
        <w:tc>
          <w:tcPr>
            <w:tcW w:w="172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376DF" w:rsidRPr="002D4653" w:rsidRDefault="007376DF" w:rsidP="007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Камерун</w:t>
            </w:r>
          </w:p>
        </w:tc>
        <w:tc>
          <w:tcPr>
            <w:tcW w:w="650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Вспышка продолжается уже более года и в 2022 году</w:t>
            </w:r>
            <w:r w:rsidR="00146D8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затронула все восемь провинций.</w:t>
            </w: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По состоянию на 29 января 2023 года с начала вспышки в октябре было зарегистрировано в общей сложности 15175 случаев, из них - 302 случая со смертельным исходом (КЛ 2,0% ).   В 2022 году было проведено несколько этапов вакцинации пероральной вакциной против холеры, и с тех пор число случаев </w:t>
            </w: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заболевания сокращается.   Готовится четвертая кампания вакцинации против холеры.</w:t>
            </w:r>
          </w:p>
        </w:tc>
      </w:tr>
      <w:tr w:rsidR="007376DF" w:rsidRPr="007376DF" w:rsidTr="002D4653">
        <w:trPr>
          <w:trHeight w:val="2003"/>
        </w:trPr>
        <w:tc>
          <w:tcPr>
            <w:tcW w:w="172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376DF" w:rsidRPr="002D4653" w:rsidRDefault="007376DF" w:rsidP="007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Демократическая Республика Конго</w:t>
            </w:r>
          </w:p>
        </w:tc>
        <w:tc>
          <w:tcPr>
            <w:tcW w:w="650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Демократическая Республика Конго сообщила о 18 403 случаях заболевания и 302 смертельных исходах (1,6%) в 26 провинциях в 2022 году. Число случаев заболевания в эндемичных провинциях, особенно на Востоке, увеличилось после сезона дождей. Также наблюдалось распространение в </w:t>
            </w:r>
            <w:proofErr w:type="spellStart"/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неэндемичные</w:t>
            </w:r>
            <w:proofErr w:type="spellEnd"/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, отдаленные районы с низким потенциалом реагирования и высокой долей смертности (</w:t>
            </w: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be-BY" w:eastAsia="ru-RU"/>
              </w:rPr>
              <w:t>КЛ</w:t>
            </w: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). Конфликт между правительственными вооруженными силами и группировкой «М23» (местная группировка) привели к увеличению числа перемещенных </w:t>
            </w:r>
            <w:proofErr w:type="gramStart"/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лиц</w:t>
            </w:r>
            <w:r w:rsidR="00146D8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  <w:tr w:rsidR="007376DF" w:rsidRPr="007376DF" w:rsidTr="002D4653">
        <w:trPr>
          <w:trHeight w:val="1197"/>
        </w:trPr>
        <w:tc>
          <w:tcPr>
            <w:tcW w:w="172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376DF" w:rsidRPr="002D4653" w:rsidRDefault="007376DF" w:rsidP="007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Эфиопия</w:t>
            </w:r>
          </w:p>
        </w:tc>
        <w:tc>
          <w:tcPr>
            <w:tcW w:w="650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С 17 сентября 2022 года по 23 января 2023 года зарегистрировано всего 1036 случаев, со смертельным исходом - 28 (КЛ 2,7%).   Конфликт, последствия засухи и повышенный риск отсутствия продовольственной безопасности в регионе являются другими подпитывающими факторами.  </w:t>
            </w:r>
          </w:p>
        </w:tc>
      </w:tr>
      <w:tr w:rsidR="007376DF" w:rsidRPr="007376DF" w:rsidTr="002D4653">
        <w:trPr>
          <w:trHeight w:val="1197"/>
        </w:trPr>
        <w:tc>
          <w:tcPr>
            <w:tcW w:w="172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376DF" w:rsidRPr="002D4653" w:rsidRDefault="007376DF" w:rsidP="007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Кения</w:t>
            </w:r>
          </w:p>
        </w:tc>
        <w:tc>
          <w:tcPr>
            <w:tcW w:w="650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на 29 января 2023 года  зарегистрировано 4391 случаев, 82 со смертельным исходом (КЛ 1,8%).   Ситуация также усугубляется продолжающейся засухой, из-за которой наблюдается перемещение скотоводческих общин.   Перемещение населения между Кенией и Сомали увеличивает риск распространения инфекции.  </w:t>
            </w:r>
          </w:p>
        </w:tc>
      </w:tr>
      <w:tr w:rsidR="007376DF" w:rsidRPr="007376DF" w:rsidTr="002D4653">
        <w:trPr>
          <w:trHeight w:val="1197"/>
        </w:trPr>
        <w:tc>
          <w:tcPr>
            <w:tcW w:w="172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376DF" w:rsidRPr="002D4653" w:rsidRDefault="007376DF" w:rsidP="007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Малави</w:t>
            </w:r>
          </w:p>
        </w:tc>
        <w:tc>
          <w:tcPr>
            <w:tcW w:w="650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Крупнейшая вспышка в истории Малави продолжается с марта 2022 года. По состоянию на 29 января 2023 года во всех 29 округах было зарегистрировано 33 608 случаев и 1093 смертельных случая (КЛ 3,3%).  </w:t>
            </w:r>
          </w:p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Нынешний сезон дождей/циклонов (с ноября по май) создает дополнительный риск в регионе.</w:t>
            </w:r>
          </w:p>
        </w:tc>
      </w:tr>
      <w:tr w:rsidR="007376DF" w:rsidRPr="007376DF" w:rsidTr="002D4653">
        <w:trPr>
          <w:trHeight w:val="996"/>
        </w:trPr>
        <w:tc>
          <w:tcPr>
            <w:tcW w:w="172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376DF" w:rsidRPr="002D4653" w:rsidRDefault="007376DF" w:rsidP="007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Мозамбик</w:t>
            </w:r>
          </w:p>
        </w:tc>
        <w:tc>
          <w:tcPr>
            <w:tcW w:w="650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на 26 января 2023 года было зарегистрировано 2256 случаев и 19 смертей (КЛ 0,8 %).</w:t>
            </w:r>
          </w:p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Риск повышается из-за продолжающегося сезона дождей/циклонов (с ноября по май).</w:t>
            </w:r>
          </w:p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6DF" w:rsidRPr="007376DF" w:rsidTr="002D4653">
        <w:trPr>
          <w:trHeight w:val="597"/>
        </w:trPr>
        <w:tc>
          <w:tcPr>
            <w:tcW w:w="172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376DF" w:rsidRPr="002D4653" w:rsidRDefault="007376DF" w:rsidP="007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Нигерия</w:t>
            </w:r>
          </w:p>
        </w:tc>
        <w:tc>
          <w:tcPr>
            <w:tcW w:w="650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 2022 году была зарегистрирована крупномасштабная вспышка с 20 768 случаями и 489 смертельными исходами (2,4% КЛ)  </w:t>
            </w:r>
          </w:p>
        </w:tc>
      </w:tr>
      <w:tr w:rsidR="007376DF" w:rsidRPr="007376DF" w:rsidTr="002D4653">
        <w:trPr>
          <w:trHeight w:val="597"/>
        </w:trPr>
        <w:tc>
          <w:tcPr>
            <w:tcW w:w="172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376DF" w:rsidRPr="002D4653" w:rsidRDefault="007376DF" w:rsidP="007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Замбия</w:t>
            </w:r>
          </w:p>
        </w:tc>
        <w:tc>
          <w:tcPr>
            <w:tcW w:w="650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на 30 января 2023 года в стране был зарегистрирован 21 предполагаемый случай с 10 подтвержденными и одним смертельным исходом.</w:t>
            </w:r>
          </w:p>
        </w:tc>
      </w:tr>
      <w:tr w:rsidR="007376DF" w:rsidRPr="007376DF" w:rsidTr="002D4653">
        <w:trPr>
          <w:trHeight w:val="1604"/>
        </w:trPr>
        <w:tc>
          <w:tcPr>
            <w:tcW w:w="2152" w:type="dxa"/>
            <w:gridSpan w:val="2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lastRenderedPageBreak/>
              <w:t>Регион стран Америки</w:t>
            </w:r>
          </w:p>
        </w:tc>
        <w:tc>
          <w:tcPr>
            <w:tcW w:w="201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Гаити</w:t>
            </w:r>
          </w:p>
        </w:tc>
        <w:tc>
          <w:tcPr>
            <w:tcW w:w="6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на 30 января 2023 года зарегистрировано в общей сложности 27 434 подозрительных случая и 560 смертей (КЛ 2,0%).  Массовая кампания вакцинации была проведена в конце декабря 2022 года, охватив 850 067 </w:t>
            </w:r>
            <w:proofErr w:type="gramStart"/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человек </w:t>
            </w:r>
            <w:r w:rsidR="00146D8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6DF" w:rsidRPr="007376DF" w:rsidTr="002D4653">
        <w:trPr>
          <w:trHeight w:val="668"/>
        </w:trPr>
        <w:tc>
          <w:tcPr>
            <w:tcW w:w="2152" w:type="dxa"/>
            <w:gridSpan w:val="2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376DF" w:rsidRPr="002D4653" w:rsidRDefault="007376DF" w:rsidP="007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Доминиканская Республика</w:t>
            </w:r>
          </w:p>
        </w:tc>
        <w:tc>
          <w:tcPr>
            <w:tcW w:w="6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  По состоянию на 30 января 2023 года в общей сложности 33 подтвержденных случая были связаны с автономной </w:t>
            </w:r>
            <w:proofErr w:type="gramStart"/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передачей.  </w:t>
            </w:r>
            <w:proofErr w:type="gramEnd"/>
          </w:p>
        </w:tc>
      </w:tr>
      <w:tr w:rsidR="007376DF" w:rsidRPr="007376DF" w:rsidTr="002D4653">
        <w:trPr>
          <w:trHeight w:val="668"/>
        </w:trPr>
        <w:tc>
          <w:tcPr>
            <w:tcW w:w="215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Регион Восточного Средиземноморья</w:t>
            </w:r>
          </w:p>
        </w:tc>
        <w:tc>
          <w:tcPr>
            <w:tcW w:w="20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Афганистан</w:t>
            </w:r>
          </w:p>
        </w:tc>
        <w:tc>
          <w:tcPr>
            <w:tcW w:w="6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Длительная широкомасштабная вспышка. Тенденция к снижению с конца 2022 года: по состоянию на 28 января 2023 года сообщалось о 1557 новых случаях  </w:t>
            </w:r>
          </w:p>
        </w:tc>
      </w:tr>
      <w:tr w:rsidR="007376DF" w:rsidRPr="007376DF" w:rsidTr="002D4653">
        <w:trPr>
          <w:trHeight w:val="1693"/>
        </w:trPr>
        <w:tc>
          <w:tcPr>
            <w:tcW w:w="215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376DF" w:rsidRPr="002D4653" w:rsidRDefault="007376DF" w:rsidP="007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Ливан</w:t>
            </w:r>
          </w:p>
        </w:tc>
        <w:tc>
          <w:tcPr>
            <w:tcW w:w="6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Первая вспышка почти за 20 лет была зарегистрирована в 2022 году, что, вероятно, связано со вспышкой в Сирии, на фоне крайне хрупкой системы здравоохранения, плохого доступа к чистой воде и санитарии и продолжающегося экономического кризиса в Сомали. По состоянию на 2 февраля было зарегистрировано в общей сложности 6386 случаев, после первой успешной кампании ПХВ (вакцинации) заболеваемость стабилизируется на уровне 150 случаев в </w:t>
            </w:r>
            <w:proofErr w:type="gramStart"/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неделю.  </w:t>
            </w:r>
            <w:proofErr w:type="gramEnd"/>
          </w:p>
        </w:tc>
      </w:tr>
      <w:tr w:rsidR="007376DF" w:rsidRPr="007376DF" w:rsidTr="002D4653">
        <w:trPr>
          <w:trHeight w:val="334"/>
        </w:trPr>
        <w:tc>
          <w:tcPr>
            <w:tcW w:w="215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376DF" w:rsidRPr="002D4653" w:rsidRDefault="007376DF" w:rsidP="007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334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Пакистан</w:t>
            </w:r>
          </w:p>
        </w:tc>
        <w:tc>
          <w:tcPr>
            <w:tcW w:w="6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334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Крупнейшая вспышка за последние десятилетия был</w:t>
            </w:r>
            <w:r w:rsidR="00146D8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а зарегистрирована в 2022 </w:t>
            </w:r>
            <w:proofErr w:type="gramStart"/>
            <w:r w:rsidR="00146D8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году</w:t>
            </w: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 w:rsidR="00146D8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7376DF" w:rsidRPr="007376DF" w:rsidTr="002D4653">
        <w:trPr>
          <w:trHeight w:val="1008"/>
        </w:trPr>
        <w:tc>
          <w:tcPr>
            <w:tcW w:w="215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376DF" w:rsidRPr="002D4653" w:rsidRDefault="007376DF" w:rsidP="007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Сомали</w:t>
            </w:r>
          </w:p>
        </w:tc>
        <w:tc>
          <w:tcPr>
            <w:tcW w:w="6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В 2022 году в 26 округах было зарегистрировано 15 653 случая и 88 смертей (КЛ 0,6%). Число случаев снизилось в начале 2023 года: сообщалось о 200 случаях в неделю.  </w:t>
            </w:r>
          </w:p>
        </w:tc>
      </w:tr>
      <w:tr w:rsidR="007376DF" w:rsidRPr="007376DF" w:rsidTr="002D4653">
        <w:trPr>
          <w:trHeight w:val="1008"/>
        </w:trPr>
        <w:tc>
          <w:tcPr>
            <w:tcW w:w="215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376DF" w:rsidRPr="002D4653" w:rsidRDefault="007376DF" w:rsidP="007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Сирия</w:t>
            </w:r>
          </w:p>
        </w:tc>
        <w:tc>
          <w:tcPr>
            <w:tcW w:w="6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За 20 лет до нынешней вспышки в Сирии не было зарегистрировано ни одного случая заболевания холерой. Широкомасштабная национальная вспышка продолжается с августа 2022 года, по всей Сирии был зарегистрирован 77 561 случай, 100 смертей (КЛ 0,1%).  </w:t>
            </w:r>
          </w:p>
        </w:tc>
      </w:tr>
      <w:tr w:rsidR="007376DF" w:rsidRPr="007376DF" w:rsidTr="002D4653">
        <w:trPr>
          <w:trHeight w:val="668"/>
        </w:trPr>
        <w:tc>
          <w:tcPr>
            <w:tcW w:w="21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Европейский регион</w:t>
            </w:r>
          </w:p>
        </w:tc>
        <w:tc>
          <w:tcPr>
            <w:tcW w:w="20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Северо-западная часть Сирии</w:t>
            </w:r>
          </w:p>
        </w:tc>
        <w:tc>
          <w:tcPr>
            <w:tcW w:w="6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По состоянию на 21 января было зарегистрировано 40 498 </w:t>
            </w:r>
            <w:r w:rsidR="00146D8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случаев и 20 смертей (КЛ 0,05</w:t>
            </w:r>
            <w:proofErr w:type="gramStart"/>
            <w:r w:rsidR="00146D8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%).</w:t>
            </w: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  <w:tr w:rsidR="007376DF" w:rsidRPr="007376DF" w:rsidTr="002D4653">
        <w:trPr>
          <w:trHeight w:val="668"/>
        </w:trPr>
        <w:tc>
          <w:tcPr>
            <w:tcW w:w="21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Регион юго-восточной Азии</w:t>
            </w:r>
          </w:p>
        </w:tc>
        <w:tc>
          <w:tcPr>
            <w:tcW w:w="20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Бангладеш</w:t>
            </w:r>
          </w:p>
        </w:tc>
        <w:tc>
          <w:tcPr>
            <w:tcW w:w="6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 2022 году в Дакке была зарегистрирована крупнейшая вспышка за последние 60 лет в </w:t>
            </w:r>
            <w:proofErr w:type="spellStart"/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предмусонный</w:t>
            </w:r>
            <w:proofErr w:type="spellEnd"/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сезон.  </w:t>
            </w:r>
            <w:proofErr w:type="gramEnd"/>
          </w:p>
        </w:tc>
      </w:tr>
      <w:tr w:rsidR="007376DF" w:rsidRPr="007376DF" w:rsidTr="002D4653">
        <w:trPr>
          <w:trHeight w:val="242"/>
        </w:trPr>
        <w:tc>
          <w:tcPr>
            <w:tcW w:w="21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Регион западной части Тихого океан</w:t>
            </w:r>
          </w:p>
        </w:tc>
        <w:tc>
          <w:tcPr>
            <w:tcW w:w="20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Филлипины</w:t>
            </w:r>
            <w:proofErr w:type="spellEnd"/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376DF" w:rsidRPr="002D4653" w:rsidRDefault="007376DF" w:rsidP="007376D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465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 2022 году сообщалось о 6490 случаях, 80 смертельных исходах, КЛ= 1,2% из нескольких регионов страны. Число случаев, зарегистрированных в 2022 году, в три раза больше по сравнению с предыдущим годом.  </w:t>
            </w:r>
          </w:p>
        </w:tc>
      </w:tr>
    </w:tbl>
    <w:p w:rsidR="0052007C" w:rsidRPr="00084BBB" w:rsidRDefault="0052007C" w:rsidP="00084BB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</w:p>
    <w:sectPr w:rsidR="0052007C" w:rsidRPr="00084BBB" w:rsidSect="007376DF">
      <w:pgSz w:w="11906" w:h="16838"/>
      <w:pgMar w:top="567" w:right="849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E6A6B"/>
    <w:multiLevelType w:val="hybridMultilevel"/>
    <w:tmpl w:val="4E6A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6535D"/>
    <w:multiLevelType w:val="multilevel"/>
    <w:tmpl w:val="C512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A4E35"/>
    <w:multiLevelType w:val="multilevel"/>
    <w:tmpl w:val="2FE6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D63DB"/>
    <w:multiLevelType w:val="multilevel"/>
    <w:tmpl w:val="4D64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45518"/>
    <w:multiLevelType w:val="hybridMultilevel"/>
    <w:tmpl w:val="E092CAE0"/>
    <w:lvl w:ilvl="0" w:tplc="DC60E71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12296B"/>
    <w:multiLevelType w:val="multilevel"/>
    <w:tmpl w:val="43F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4476A7"/>
    <w:multiLevelType w:val="multilevel"/>
    <w:tmpl w:val="7C04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90A93"/>
    <w:multiLevelType w:val="multilevel"/>
    <w:tmpl w:val="A1DC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C77361"/>
    <w:multiLevelType w:val="multilevel"/>
    <w:tmpl w:val="1CD2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00BB9"/>
    <w:multiLevelType w:val="multilevel"/>
    <w:tmpl w:val="D438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B00341"/>
    <w:multiLevelType w:val="multilevel"/>
    <w:tmpl w:val="104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6054BA"/>
    <w:multiLevelType w:val="multilevel"/>
    <w:tmpl w:val="475E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56"/>
    <w:rsid w:val="00084BBB"/>
    <w:rsid w:val="000E2DE1"/>
    <w:rsid w:val="00146D89"/>
    <w:rsid w:val="001A5CDF"/>
    <w:rsid w:val="00286D86"/>
    <w:rsid w:val="002D4653"/>
    <w:rsid w:val="00350F60"/>
    <w:rsid w:val="00351B08"/>
    <w:rsid w:val="003C2495"/>
    <w:rsid w:val="003D0679"/>
    <w:rsid w:val="004215B8"/>
    <w:rsid w:val="00427C63"/>
    <w:rsid w:val="00456ED1"/>
    <w:rsid w:val="004A6594"/>
    <w:rsid w:val="004C1577"/>
    <w:rsid w:val="0052007C"/>
    <w:rsid w:val="005C2C56"/>
    <w:rsid w:val="007345A8"/>
    <w:rsid w:val="00737684"/>
    <w:rsid w:val="007376DF"/>
    <w:rsid w:val="007C66D9"/>
    <w:rsid w:val="00935F9B"/>
    <w:rsid w:val="009B6152"/>
    <w:rsid w:val="009D2B0D"/>
    <w:rsid w:val="00A70962"/>
    <w:rsid w:val="00A77EB6"/>
    <w:rsid w:val="00AE1030"/>
    <w:rsid w:val="00B05187"/>
    <w:rsid w:val="00B948F6"/>
    <w:rsid w:val="00C92AD0"/>
    <w:rsid w:val="00CC43A9"/>
    <w:rsid w:val="00CE4776"/>
    <w:rsid w:val="00D44F6A"/>
    <w:rsid w:val="00D806B3"/>
    <w:rsid w:val="00DB1FA4"/>
    <w:rsid w:val="00E14584"/>
    <w:rsid w:val="00EF49ED"/>
    <w:rsid w:val="00F12802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55D5A-BD78-4B9D-B575-C08BE6EB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84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84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4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87"/>
    <w:pPr>
      <w:spacing w:line="259" w:lineRule="auto"/>
      <w:ind w:left="720"/>
      <w:contextualSpacing/>
    </w:pPr>
  </w:style>
  <w:style w:type="paragraph" w:styleId="a4">
    <w:name w:val="No Spacing"/>
    <w:uiPriority w:val="1"/>
    <w:qFormat/>
    <w:rsid w:val="00E14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F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4B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mestamp">
    <w:name w:val="timestamp"/>
    <w:basedOn w:val="a0"/>
    <w:rsid w:val="00084BBB"/>
  </w:style>
  <w:style w:type="character" w:styleId="a6">
    <w:name w:val="Hyperlink"/>
    <w:basedOn w:val="a0"/>
    <w:uiPriority w:val="99"/>
    <w:semiHidden/>
    <w:unhideWhenUsed/>
    <w:rsid w:val="00084BBB"/>
    <w:rPr>
      <w:color w:val="0000FF"/>
      <w:u w:val="single"/>
    </w:rPr>
  </w:style>
  <w:style w:type="character" w:styleId="a7">
    <w:name w:val="Strong"/>
    <w:basedOn w:val="a0"/>
    <w:uiPriority w:val="22"/>
    <w:qFormat/>
    <w:rsid w:val="00084BBB"/>
    <w:rPr>
      <w:b/>
      <w:bCs/>
    </w:rPr>
  </w:style>
  <w:style w:type="character" w:styleId="a8">
    <w:name w:val="Emphasis"/>
    <w:basedOn w:val="a0"/>
    <w:uiPriority w:val="20"/>
    <w:qFormat/>
    <w:rsid w:val="00084BB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1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9011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4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383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349533481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1291861520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27754341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77407616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</w:divsChild>
                </w:div>
              </w:divsChild>
            </w:div>
          </w:divsChild>
        </w:div>
        <w:div w:id="1760366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Балашенко</dc:creator>
  <cp:lastModifiedBy>Омельянович Олег</cp:lastModifiedBy>
  <cp:revision>14</cp:revision>
  <dcterms:created xsi:type="dcterms:W3CDTF">2023-03-30T06:07:00Z</dcterms:created>
  <dcterms:modified xsi:type="dcterms:W3CDTF">2023-04-13T13:18:00Z</dcterms:modified>
</cp:coreProperties>
</file>